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E77B" w14:textId="46E61AF6" w:rsidR="00C4329C" w:rsidRPr="00B42AB1" w:rsidRDefault="00C4329C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Кыргыз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Республикасынын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Экономика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жана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коммерция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министрлигинин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Мамлекеттик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кызмат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көрсөтүүлөрдүн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1211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Б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ирдиктүү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реестрине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киргизилген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Кыргыз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Республикасынын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Экономика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жана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коммерция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министрлигине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караштуу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Кыргыз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аккредитациялоо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борбору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тарабынан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көрсөтүлүүчү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мамлекеттик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кызмат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көрсөтүүлөрдүн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административдик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регламенттерин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бекитүү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жөнүндө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буйругунун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долбооруна</w:t>
      </w:r>
      <w:proofErr w:type="spellEnd"/>
    </w:p>
    <w:p w14:paraId="0506F6E3" w14:textId="16680B56" w:rsidR="00C4329C" w:rsidRPr="00B42AB1" w:rsidRDefault="00C4329C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НЕГИЗДӨӨ – МААЛЫМКАТЫ</w:t>
      </w:r>
    </w:p>
    <w:p w14:paraId="30349F21" w14:textId="0437A967" w:rsidR="008D48B5" w:rsidRPr="00B42AB1" w:rsidRDefault="00C4329C" w:rsidP="00B42A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Максаттары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жана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милдеттери</w:t>
      </w:r>
      <w:proofErr w:type="spellEnd"/>
    </w:p>
    <w:p w14:paraId="75F72286" w14:textId="1A3A98D7" w:rsidR="008D48B5" w:rsidRDefault="008D48B5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буйруктун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долбоорунун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максаты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милдеттери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Министрлер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Кабинетинин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2024-жылдын 12-июнундагы № 304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токтому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бекитилген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алардын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ведомстволук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мекемелери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тарабынан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көрсөтүлүүчү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кызматтар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кызмат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көрсөтүүлөрдү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керектөөчүлөр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үчүн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бирдей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шарттарды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түзүү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Экономика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коммерция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министрлиги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тарабынан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кызмат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көрсөтүүлөрдүн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ирдиктүү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реестрине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киргизилген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шайкештикти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баалоо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боюнча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органдарды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аккредитациялоо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жаатында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көрсөтүлүүчү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кызмат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көрсөтүүлөрдүн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сапатын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жогорулатуу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болуп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саналат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06247B" w14:textId="77777777" w:rsidR="00B42AB1" w:rsidRPr="00B42AB1" w:rsidRDefault="00B42AB1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78ACA" w14:textId="2747B000" w:rsidR="008D48B5" w:rsidRPr="00B42AB1" w:rsidRDefault="008D48B5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Сүрөттөө</w:t>
      </w:r>
      <w:proofErr w:type="spellEnd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бөлүгү</w:t>
      </w:r>
      <w:proofErr w:type="spellEnd"/>
    </w:p>
    <w:p w14:paraId="50F2957B" w14:textId="20F7C19F" w:rsidR="008D48B5" w:rsidRPr="00B42AB1" w:rsidRDefault="008D48B5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буйруктун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долбоору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211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Кыргыз </w:t>
      </w:r>
      <w:proofErr w:type="spellStart"/>
      <w:r w:rsidR="00421211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Республикасынын</w:t>
      </w:r>
      <w:proofErr w:type="spellEnd"/>
      <w:r w:rsidR="00421211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915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2023-жылдын 3-мартындагы №115</w:t>
      </w:r>
      <w:r w:rsidR="000E5915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proofErr w:type="spellStart"/>
      <w:r w:rsidR="00421211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Министрлер</w:t>
      </w:r>
      <w:proofErr w:type="spellEnd"/>
      <w:r w:rsidR="00421211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1211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Кабинетинин</w:t>
      </w:r>
      <w:proofErr w:type="spellEnd"/>
      <w:r w:rsidR="00421211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1211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токтому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2018-жылдын 16-январындагы №26 «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муниципалдык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кызмат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көрсөтүүлөрдүн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административдик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регламентин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иштеп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чыгуунун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оптималдаштыруунун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жөнүндө</w:t>
      </w:r>
      <w:proofErr w:type="spellEnd"/>
      <w:r w:rsidR="00791D3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Өкмөтүнүн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токтому</w:t>
      </w:r>
      <w:proofErr w:type="spellEnd"/>
      <w:r w:rsidR="000E5915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бекитилген</w:t>
      </w:r>
      <w:proofErr w:type="spellEnd"/>
      <w:r w:rsidR="000E5915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органдарына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жергиликтүү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алдынча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башкаруунун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аткаруу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органдарына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берилген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Министрлер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Кабинетинин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айрым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ченем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жаратуучу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ыйгарым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укуктарынын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тизмесинин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4-пунктуна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ылайык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иштелип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</w:t>
      </w:r>
      <w:proofErr w:type="spell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5915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</w:p>
    <w:p w14:paraId="6A8F37E5" w14:textId="48A7434E" w:rsidR="008D48B5" w:rsidRPr="00B42AB1" w:rsidRDefault="00791D38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Кыргыз Республикасынын Министрлер Кабинетинин 2024-жылдын 12-июнундагы №304 токтому менен бекитилген Мамлекеттик органдар жана алардын ведомстволук мекемелери тарабынан көрсөтүлүүчү мамлекеттик кызмат көрсөтүүлөрдүн </w:t>
      </w:r>
      <w:r w:rsidR="0064763E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ирдиктүү реестринин 5-главасынын 15-19-пункттарына ылайык, Кыргыз Республикасынын Экономика жана коммерция министрлиги шайкештикти баалоо боюнча органдарды аккредитациялоо жаатында мамлекеттик кызматтарды көрсөтөт.</w:t>
      </w:r>
    </w:p>
    <w:p w14:paraId="17396F2E" w14:textId="3CAEE5F3" w:rsidR="00791D38" w:rsidRPr="00B42AB1" w:rsidRDefault="00791D38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Республикасынын Өкмөтүнүн 2006-жылдын 16-ноябрындагы №795 «Кыргыз Республикасындагы шайкештикти баалоо боюнча органдарды аккредитациялоо жөнүндө» токтомун</w:t>
      </w:r>
      <w:r w:rsidR="007E29E2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эске алуу менен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Кыргыз Республикасынын Экономика жана коммерция министрлигине караштуу Кыргыз аккредитациялоо борбору (мындан ары - Кыргыз аккредитациялоо борбору) шайкештикти баалоо боюнча органдарды аккредитациялоо боюнча кызматтарды көрсөтөт</w:t>
      </w:r>
      <w:r w:rsidR="007E29E2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7E29E2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ыргыз Республикасынын Министрлер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>Кабинетинин 2021-жылдын 10-декабрындагы № 300 токтомуна ылайык Кыргыз аккредитациялоо борбору жөнүндө жобонун 12-пунктуна ылайык, иштин негизги максаттары болуп улуттук аккредитациялоо системасын түзүү жана өнүктүрүү</w:t>
      </w:r>
      <w:r w:rsidR="007E29E2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эл аралык практикага жана стандарттарга ылайык шайкештикти баалоо боюнча органдардын компетенттүүлүгүн тастыктоо, аларга болгон ишенимди жогорулатуу жана алардын ишин таануу үчүн шарттарды түзүү максатында аккредитациялоо кызматтарын көрсөтүү</w:t>
      </w:r>
      <w:r w:rsidR="007E29E2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болуп саналат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14:paraId="6CF8978C" w14:textId="67B25B3F" w:rsidR="008D48B5" w:rsidRDefault="007E29E2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Жогоруда айтылгандарды эске алуу менен, буйруктун долбоорунда мамлекеттик кызмат көрсөтүүлөрдү керектөөчүлөргө (юридикалык жактарга) кызмат көрсөтүү шарттары, ошондой эле кызмат көрсөтүүлөрдү </w:t>
      </w:r>
      <w:r w:rsidR="00F73959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алуу үчүн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керектөөчүлөрдүн зарыл </w:t>
      </w:r>
      <w:r w:rsidR="00F73959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болгон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документтеринин жана/же аракеттеринин толук тизмеси, кызмат көрсөтүүлөрдүн сапатынын параметрлери, кызмат көрсөтүүлөрдү алуу ыкмалары, кызмат көрсөтүүлөрдү алуу жөнүндө керектөөчүлөргө маалымдоо ыкмалары, кызмат көрсөтүүнүн мөөнөттөрү, акы төлөнүүчү кызмат көрсөтүүлөрдүн наркы</w:t>
      </w:r>
      <w:r w:rsidR="00936343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бузулган учурларда даттануунун тартиби жана Кыргыз аккредитациялоо борбору тарабынан көрсөтүлүүчү мамлекеттик кызматтарды көрсөтүү</w:t>
      </w:r>
      <w:r w:rsidR="00936343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гө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50245E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кабыл алууда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баш тартуу үчүн </w:t>
      </w:r>
      <w:r w:rsidR="0050245E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жана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зарыл болгон документтерди</w:t>
      </w:r>
      <w:r w:rsidR="00936343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н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50245E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негиздеринин </w:t>
      </w:r>
      <w:r w:rsidR="00936343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толук тизмеси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берүүдөн баш тартуу үчүн жана шайкештикти баалоо боюнча органдарды аккредитациялоо чөйрөсүндөгү мамлекеттик кызмат көрсөтүүлөрдүн административдик регламентин бекитүү сунушталып жатканын белгилейбиз.</w:t>
      </w:r>
      <w:r w:rsidR="00936343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</w:t>
      </w:r>
    </w:p>
    <w:p w14:paraId="4063748D" w14:textId="77777777" w:rsidR="00B42AB1" w:rsidRPr="00B42AB1" w:rsidRDefault="00B42AB1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123E6ED8" w14:textId="3553C255" w:rsidR="00D6311B" w:rsidRPr="00B42AB1" w:rsidRDefault="00D6311B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3. Мүмкүн болгон социалдык, экономикалык, укуктук, адам укуктары, гендердик, экологиялык, коррупциялык кесепеттерди божомолдору</w:t>
      </w:r>
    </w:p>
    <w:p w14:paraId="7AB36B8F" w14:textId="427B17F2" w:rsidR="00D6311B" w:rsidRDefault="00D6311B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Буйруктун долбоорун кабыл алуу терс социалдык, экономикалык, укуктук, адам укуктары, гендердик, экологиялык, коррупциялык кесепеттерге алып келбейт.</w:t>
      </w:r>
    </w:p>
    <w:p w14:paraId="075266C6" w14:textId="77777777" w:rsidR="00B42AB1" w:rsidRPr="00B42AB1" w:rsidRDefault="00B42AB1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32E27785" w14:textId="78807483" w:rsidR="00D6311B" w:rsidRPr="00B42AB1" w:rsidRDefault="00D6311B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4. Коомдук талкуунун жыйынтыгы тууралуу маалымат</w:t>
      </w:r>
    </w:p>
    <w:p w14:paraId="49E490D3" w14:textId="3CAE3202" w:rsidR="00D6311B" w:rsidRPr="00B42AB1" w:rsidRDefault="00D6311B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Кыргыз Республикасынын «Кыргыз Республикасынын ченемдик укуктук актылары жөнүндө» мыйзамынын 22-беренесине ылайык, бул буйруктун долбоору </w:t>
      </w:r>
      <w:r w:rsidR="00237D13"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Республикасынын Экономика жана коммерция министрлигине караштуу Кыргыз аккредитациялоо борбору</w:t>
      </w:r>
      <w:r w:rsidR="00237D1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нун сайтында</w:t>
      </w:r>
      <w:r w:rsidR="00237D13"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жайгаштырылган.</w:t>
      </w:r>
    </w:p>
    <w:p w14:paraId="6F81C4C0" w14:textId="77777777" w:rsidR="00237D13" w:rsidRDefault="00237D13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7B705AF9" w14:textId="01C14BB3" w:rsidR="00D6311B" w:rsidRPr="00B42AB1" w:rsidRDefault="00D6311B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5. Долбоордун мыйзамга шайкештигин талдоо</w:t>
      </w:r>
    </w:p>
    <w:p w14:paraId="1E72950A" w14:textId="6065F8D4" w:rsidR="00D6311B" w:rsidRDefault="00D6311B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Сунушталган буйруктун долбоору колдонуудагы мыйзамдардын ченемдерине, ошондой эле Кыргыз Республикасынын мыйзамдарына ылайык күчүнө кирген эл аралык келишимдерге карама-каршы келбейт.</w:t>
      </w:r>
    </w:p>
    <w:p w14:paraId="4307D055" w14:textId="1DD01543" w:rsidR="00237D13" w:rsidRDefault="00237D13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52CC70A6" w14:textId="77777777" w:rsidR="00237D13" w:rsidRPr="00B42AB1" w:rsidRDefault="00237D13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257DB926" w14:textId="7503E2D5" w:rsidR="00D6311B" w:rsidRPr="00B42AB1" w:rsidRDefault="00D6311B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lastRenderedPageBreak/>
        <w:t>6. Каржылоонун зарылдыгы жана булактары жөнүндө маалымат</w:t>
      </w:r>
    </w:p>
    <w:p w14:paraId="05351251" w14:textId="080A6AD2" w:rsidR="00D6311B" w:rsidRDefault="00D6311B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Сунушталган буйруктун долбоорун кабыл алуу республикалык бюджеттен кошумча финансылык чыгымдарды алып келбейт.</w:t>
      </w:r>
    </w:p>
    <w:p w14:paraId="12B0BDF4" w14:textId="167D0ECE" w:rsidR="00237D13" w:rsidRDefault="00237D13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56ADA803" w14:textId="77777777" w:rsidR="006F7430" w:rsidRPr="00B42AB1" w:rsidRDefault="006F7430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652D51B5" w14:textId="3DC3F296" w:rsidR="00D6311B" w:rsidRPr="00B42AB1" w:rsidRDefault="00D6311B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7. Регулятивдик таасирди талдоо жөнүндө маалымат</w:t>
      </w:r>
    </w:p>
    <w:p w14:paraId="101015C5" w14:textId="636D1BA4" w:rsidR="008B6E8B" w:rsidRPr="00B42AB1" w:rsidRDefault="008B6E8B" w:rsidP="00B4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Сунушталган буйруктун долбоору жөнгө салуучу таасирди талдоону талап кылбайт, анткени ал ишкердикти жөнгө салууга багытталган эмес.</w:t>
      </w:r>
    </w:p>
    <w:p w14:paraId="3EA9B449" w14:textId="77777777" w:rsidR="008D48B5" w:rsidRPr="00B42AB1" w:rsidRDefault="008D48B5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42C67DA3" w14:textId="77777777" w:rsidR="008D48B5" w:rsidRPr="00B42AB1" w:rsidRDefault="008D48B5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3D9D9FBB" w14:textId="77777777" w:rsidR="008D48B5" w:rsidRPr="00B42AB1" w:rsidRDefault="008D48B5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67991640" w14:textId="77777777" w:rsidR="008D48B5" w:rsidRPr="00B42AB1" w:rsidRDefault="008D48B5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0FFFD96A" w14:textId="77777777" w:rsidR="008D48B5" w:rsidRPr="00B42AB1" w:rsidRDefault="008D48B5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5775A38C" w14:textId="77777777" w:rsidR="008D48B5" w:rsidRPr="00B42AB1" w:rsidRDefault="008D48B5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4DC689A1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51EF7110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1F1FE134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54E990DF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640B3DC3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1652F8BA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51532094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44D6DF71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738C9E87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508B9B7A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07888E6F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7C90285D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0826DFE6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773EC91E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7802AD20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5CF9BAEE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54817076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78D6F15E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58F104EC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6942670F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50E7CDA3" w14:textId="77777777" w:rsidR="008B6E8B" w:rsidRPr="00B42AB1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19B39F53" w14:textId="5F135740" w:rsidR="008B6E8B" w:rsidRDefault="008B6E8B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04071C21" w14:textId="1FCEC45B" w:rsidR="006F7430" w:rsidRDefault="006F7430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5A4F8A88" w14:textId="38827B71" w:rsidR="006F7430" w:rsidRDefault="006F7430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00C67772" w14:textId="58E0F846" w:rsidR="006F7430" w:rsidRDefault="006F7430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49A1878C" w14:textId="54D9DD4D" w:rsidR="006F7430" w:rsidRDefault="006F7430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450BABD6" w14:textId="77777777" w:rsidR="006F7430" w:rsidRPr="00B42AB1" w:rsidRDefault="006F7430" w:rsidP="00B42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1E8F18D7" w14:textId="77777777" w:rsidR="008D48B5" w:rsidRPr="00B42AB1" w:rsidRDefault="008D48B5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177143F9" w14:textId="77777777" w:rsidR="00421211" w:rsidRPr="00B42AB1" w:rsidRDefault="00421211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6D96C475" w14:textId="77777777" w:rsidR="00421211" w:rsidRPr="00B42AB1" w:rsidRDefault="00421211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1F73E763" w14:textId="6F496439" w:rsidR="00706FF2" w:rsidRPr="00B42AB1" w:rsidRDefault="001B4E7F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СПРАВКА-ОБОСНОВАНИЕ </w:t>
      </w:r>
    </w:p>
    <w:p w14:paraId="3C8074F7" w14:textId="40FA7449" w:rsidR="001B4E7F" w:rsidRPr="00B42AB1" w:rsidRDefault="001B4E7F" w:rsidP="00B42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проекту приказа Министерства экономики и коммерции Кыргызской Республики «Об утверждении </w:t>
      </w:r>
      <w:r w:rsidR="000A3DFB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административных регламентов </w:t>
      </w: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государственных услуг, оказываемых </w:t>
      </w:r>
      <w:r w:rsidR="00660EEA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Кыргызским </w:t>
      </w:r>
      <w:r w:rsidR="004C5A67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ц</w:t>
      </w:r>
      <w:r w:rsidR="00660EEA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ентром аккредитации при </w:t>
      </w:r>
      <w:r w:rsidR="003C63EE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</w:t>
      </w:r>
      <w:r w:rsidR="00660EEA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е</w:t>
      </w:r>
      <w:r w:rsidR="003C63EE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экономики и коммерции Кыргызской Республики, включенных в Единый реестр</w:t>
      </w:r>
      <w:r w:rsidR="00C912BA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</w:t>
      </w:r>
      <w:r w:rsidR="00402611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ударственных услуг</w:t>
      </w:r>
      <w:r w:rsidR="004251D2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71403D2" w14:textId="77777777" w:rsidR="00706FF2" w:rsidRPr="00B42AB1" w:rsidRDefault="00706FF2" w:rsidP="00B42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34BD5" w14:textId="77777777" w:rsidR="001B4E7F" w:rsidRPr="00B42AB1" w:rsidRDefault="00706FF2" w:rsidP="00B42A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1B4E7F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</w:t>
      </w:r>
      <w:bookmarkEnd w:id="1"/>
      <w:bookmarkEnd w:id="2"/>
      <w:bookmarkEnd w:id="3"/>
    </w:p>
    <w:p w14:paraId="3BE0FB3A" w14:textId="069AF6BA" w:rsidR="001B4E7F" w:rsidRPr="00B42AB1" w:rsidRDefault="001B4E7F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 задач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ами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проекта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являются создание равных условий для потребителей государственных услуг и повышени</w:t>
      </w:r>
      <w:r w:rsidR="0059768E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государственных услуг, оказываемых Министерством экономики и коммерции Кыргызской Республики в области аккредитации органов по оценке соответствия, включенных в Единый реестр государственных услуг, оказываемых государственными органами и их подведомственными учреждениями, утвержденн</w:t>
      </w:r>
      <w:r w:rsidR="0059768E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Кабинета Министров Кыргызской Республики от 12 июня 2024 года № 304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14:paraId="06BDD1B2" w14:textId="77777777" w:rsidR="009B3976" w:rsidRPr="00B42AB1" w:rsidRDefault="009B3976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2B989" w14:textId="77777777" w:rsidR="001B4E7F" w:rsidRPr="00B42AB1" w:rsidRDefault="00706FF2" w:rsidP="00B42A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6"/>
      <w:bookmarkStart w:id="5" w:name="bookmark4"/>
      <w:bookmarkStart w:id="6" w:name="bookmark5"/>
      <w:bookmarkStart w:id="7" w:name="bookmark7"/>
      <w:bookmarkEnd w:id="4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1B4E7F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Описательная часть</w:t>
      </w:r>
      <w:bookmarkEnd w:id="5"/>
      <w:bookmarkEnd w:id="6"/>
      <w:bookmarkEnd w:id="7"/>
    </w:p>
    <w:p w14:paraId="066491F8" w14:textId="74AECC1E" w:rsidR="001B4E7F" w:rsidRPr="00B42AB1" w:rsidRDefault="001B4E7F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проект приказа разработан в соответствии с пунктом 4 Списка отдельных нормотворческих полномочий Кабинета Министров Кыргызской Республики, делегируемых государственным органам и исполнительным органам местного самоуправления Кыргызской Республики,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Кабинета Министров Кыргызской Республики от 3 марта 2023 года № 115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CE9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</w:t>
      </w:r>
      <w:r w:rsidR="006859D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остановлением Правительства Кыргызской Республики «О порядке разработки и оптимизации административных регламентов государственных и муниципальных услуг</w:t>
      </w:r>
      <w:r w:rsidR="00A65BFE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859D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 января 2018 года № 26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40785C" w14:textId="2702257E" w:rsidR="001B4E7F" w:rsidRPr="00B42AB1" w:rsidRDefault="001B4E7F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15-19 главы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Единого реестра государственных услуг, оказываемых государственными органами и их подведомственными учреждениями, утвержденного постановлением Кабинета Министров Кыргызской Республики от 12 июня 2024 года № 30</w:t>
      </w:r>
      <w:r w:rsidR="00D94350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экономики и коммерции Кыргызской Республики оказывает государственные услуги в области аккредитации органов по оценке соответствия.</w:t>
      </w:r>
    </w:p>
    <w:p w14:paraId="31E6A014" w14:textId="344C7641" w:rsidR="00C4454A" w:rsidRPr="00B42AB1" w:rsidRDefault="001B4E7F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внимание, что в соответствии с постановлением Правительства Кыргызской Республики </w:t>
      </w:r>
      <w:bookmarkStart w:id="8" w:name="_Hlk189240962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End w:id="8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аккредитации органов по оценке соответствия в Кыргызской Республике</w:t>
      </w:r>
      <w:bookmarkStart w:id="9" w:name="_Hlk189240975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9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16 ноября 2006 года</w:t>
      </w:r>
      <w:r w:rsidR="00706FF2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776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4454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795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="00C4454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Кыргызский центр аккредитации при Министерстве экономики и коммерции Кыргызской Республики (далее - Кыргызский центр аккредитации) оказывает услуги по аккредитации органов по оценке соответствия</w:t>
      </w:r>
      <w:r w:rsidR="00A65BFE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</w:t>
      </w:r>
      <w:r w:rsidR="00C4454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пункту 1</w:t>
      </w:r>
      <w:r w:rsidR="00023F02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454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Положения</w:t>
      </w:r>
      <w:r w:rsidR="00C4454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Кыргызском центре аккредитации</w:t>
      </w:r>
      <w:r w:rsidR="00F8522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220776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85228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Кабинета Министров Кыргызской Республики </w:t>
      </w:r>
      <w:r w:rsidR="00C4454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 декабря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C4454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года № 300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="00C4454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целями </w:t>
      </w:r>
      <w:r w:rsidR="00C4454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являются формирование и развитие национальной системы аккредитации в соответствии с международной практикой и стандартами, оказание услуг по аккредитации в целях создания условий для подтверждения компетентности органов по оценке соответствия, повышения доверия к ним и признания их деятельности.</w:t>
      </w:r>
    </w:p>
    <w:p w14:paraId="7797DF2D" w14:textId="1B0D085E" w:rsidR="00C4454A" w:rsidRPr="00B42AB1" w:rsidRDefault="00C4454A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изложенное отмечаем, что проектом приказа предлагается утвердить </w:t>
      </w:r>
      <w:r w:rsidR="00A65BFE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регламенты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 в области аккредитации органов по оценке соответствия, </w:t>
      </w:r>
      <w:r w:rsidR="00221136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="00221136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потребителей государственных услуг (юридических лиц), устанавлива</w:t>
      </w:r>
      <w:r w:rsidR="00221136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условия предоставления услуг, </w:t>
      </w:r>
      <w:r w:rsidR="004522AD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необходимых документов и/или действий со стороны потребител</w:t>
      </w:r>
      <w:r w:rsidR="00221136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параметры качества услуг, способ</w:t>
      </w:r>
      <w:r w:rsidR="00FE2377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услуг, способы информирования потребителей о получении услуг, сроки предоставления услуг, стоимость платной услуги, порядок обжалования в случаях нарушения </w:t>
      </w:r>
      <w:r w:rsidR="002462DC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исчерпывающий перечень оснований для отказа в приеме документов, необходимых для предоставления</w:t>
      </w:r>
      <w:r w:rsidR="002462DC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2DC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оснований для отказа </w:t>
      </w:r>
      <w:r w:rsidR="00A65BFE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оказываемых Кыргызским центром аккредитации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35550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35550A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46AC21" w14:textId="77777777" w:rsidR="009B3976" w:rsidRPr="00B42AB1" w:rsidRDefault="009B3976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9F3E7" w14:textId="77777777" w:rsidR="00C4454A" w:rsidRPr="00B42AB1" w:rsidRDefault="00706FF2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C4454A"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06DECAF9" w14:textId="14A6B743" w:rsidR="00706FF2" w:rsidRPr="00B42AB1" w:rsidRDefault="00C4454A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проекта 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приказа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5AD12EC6" w14:textId="77777777" w:rsidR="00AF7FC2" w:rsidRPr="00B42AB1" w:rsidRDefault="00AF7FC2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D7512" w14:textId="790CA479" w:rsidR="00C4454A" w:rsidRPr="00B42AB1" w:rsidRDefault="00C4454A" w:rsidP="00B42A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результатах общественного обсуждения</w:t>
      </w:r>
    </w:p>
    <w:p w14:paraId="770C6CEA" w14:textId="1A69BC1E" w:rsidR="007E56AB" w:rsidRPr="00B42AB1" w:rsidRDefault="007E56AB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22 Закона Кыргызской Республики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                      </w:t>
      </w:r>
      <w:proofErr w:type="gramStart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 </w:t>
      </w:r>
      <w:bookmarkStart w:id="10" w:name="_Hlk189241853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End w:id="10"/>
      <w:proofErr w:type="gramEnd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нормативных правовых актах Кыргызской Республики</w:t>
      </w:r>
      <w:bookmarkStart w:id="11" w:name="_Hlk189241862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11"/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проект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приказа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августа 2024 года был размещен на </w:t>
      </w:r>
      <w:r w:rsidR="009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Кыргызского центра аккредитации при Министерстве экономики и коммерции Кыргызской Республики. </w:t>
      </w:r>
    </w:p>
    <w:p w14:paraId="5B20089F" w14:textId="77777777" w:rsidR="00AF7FC2" w:rsidRPr="00B42AB1" w:rsidRDefault="00AF7FC2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1ABD2" w14:textId="77777777" w:rsidR="00C4454A" w:rsidRPr="00B42AB1" w:rsidRDefault="00C4454A" w:rsidP="00B42A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соответствия проекта законодательству</w:t>
      </w:r>
    </w:p>
    <w:p w14:paraId="65496EBA" w14:textId="76F7A482" w:rsidR="00C4454A" w:rsidRPr="00B42AB1" w:rsidRDefault="00C4454A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проект </w:t>
      </w:r>
      <w:r w:rsidR="007E56AB"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приказа </w:t>
      </w: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противоречит нормам действующего законодательства, а также международным договорам, вступившим в силу в соответствии с законодательством Кыргызской Республики.</w:t>
      </w:r>
    </w:p>
    <w:p w14:paraId="156F0CE2" w14:textId="77777777" w:rsidR="00AF7FC2" w:rsidRPr="00B42AB1" w:rsidRDefault="00AF7FC2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9D4CC" w14:textId="77777777" w:rsidR="00C4454A" w:rsidRPr="00B42AB1" w:rsidRDefault="00C4454A" w:rsidP="00B42A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необходимости и источниках финансирования</w:t>
      </w:r>
    </w:p>
    <w:p w14:paraId="58D58048" w14:textId="604E051A" w:rsidR="00C4454A" w:rsidRPr="00B42AB1" w:rsidRDefault="00C4454A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представленного проекта приказа не повлечет за собой дополнительных финансовых затрат из республиканского бюджета.</w:t>
      </w:r>
    </w:p>
    <w:p w14:paraId="2C26AFD5" w14:textId="6562815F" w:rsidR="00AF7FC2" w:rsidRDefault="00AF7FC2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9F561" w14:textId="0C1731E1" w:rsidR="009F6DE8" w:rsidRDefault="009F6DE8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13B95" w14:textId="77777777" w:rsidR="009F6DE8" w:rsidRPr="00B42AB1" w:rsidRDefault="009F6DE8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11A732C2" w14:textId="77777777" w:rsidR="00C4454A" w:rsidRPr="00B42AB1" w:rsidRDefault="00C4454A" w:rsidP="00B42A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bookmark10"/>
      <w:bookmarkStart w:id="14" w:name="bookmark11"/>
      <w:bookmarkStart w:id="15" w:name="bookmark8"/>
      <w:bookmarkStart w:id="16" w:name="bookmark9"/>
      <w:bookmarkEnd w:id="13"/>
      <w:r w:rsidRPr="00B4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об анализе регулятивного воздействия</w:t>
      </w:r>
      <w:bookmarkEnd w:id="14"/>
      <w:bookmarkEnd w:id="15"/>
      <w:bookmarkEnd w:id="16"/>
    </w:p>
    <w:p w14:paraId="565305D5" w14:textId="77777777" w:rsidR="00C4454A" w:rsidRPr="00B42AB1" w:rsidRDefault="00C4454A" w:rsidP="00B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 проект приказа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4A138F8D" w14:textId="7057F022" w:rsidR="00F25BB6" w:rsidRPr="00B42AB1" w:rsidRDefault="00F25BB6" w:rsidP="00B42A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A44135" w14:textId="77777777" w:rsidR="007E56AB" w:rsidRPr="00B42AB1" w:rsidRDefault="007E56AB" w:rsidP="00B42A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76DF86" w14:textId="77777777" w:rsidR="00C4454A" w:rsidRPr="00B42AB1" w:rsidRDefault="00F25BB6" w:rsidP="00B42A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Министр</w:t>
      </w:r>
    </w:p>
    <w:p w14:paraId="4A6A0693" w14:textId="77777777" w:rsidR="00F25BB6" w:rsidRPr="00B42AB1" w:rsidRDefault="00F25BB6" w:rsidP="00B42A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экономики и коммерции</w:t>
      </w:r>
    </w:p>
    <w:p w14:paraId="608B08A5" w14:textId="32F48E77" w:rsidR="00F25BB6" w:rsidRPr="00B42AB1" w:rsidRDefault="00F25BB6" w:rsidP="00B42A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Кыргызской Республики </w:t>
      </w:r>
      <w:r w:rsidRPr="00B42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42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42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42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015CA" w:rsidRPr="00B42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B42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Б.Т. </w:t>
      </w:r>
      <w:proofErr w:type="spellStart"/>
      <w:r w:rsidRPr="00B42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Сыдыков</w:t>
      </w:r>
      <w:proofErr w:type="spellEnd"/>
    </w:p>
    <w:sectPr w:rsidR="00F25BB6" w:rsidRPr="00B42AB1" w:rsidSect="00962F75">
      <w:footerReference w:type="default" r:id="rId7"/>
      <w:pgSz w:w="11906" w:h="16838"/>
      <w:pgMar w:top="1134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6DCF" w14:textId="77777777" w:rsidR="00615144" w:rsidRDefault="00615144" w:rsidP="002C5CCE">
      <w:pPr>
        <w:spacing w:after="0" w:line="240" w:lineRule="auto"/>
      </w:pPr>
      <w:r>
        <w:separator/>
      </w:r>
    </w:p>
  </w:endnote>
  <w:endnote w:type="continuationSeparator" w:id="0">
    <w:p w14:paraId="043865BE" w14:textId="77777777" w:rsidR="00615144" w:rsidRDefault="00615144" w:rsidP="002C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1452793"/>
      <w:docPartObj>
        <w:docPartGallery w:val="Page Numbers (Bottom of Page)"/>
        <w:docPartUnique/>
      </w:docPartObj>
    </w:sdtPr>
    <w:sdtEndPr/>
    <w:sdtContent>
      <w:p w14:paraId="7A45EC97" w14:textId="3EAB0212" w:rsidR="002C5CCE" w:rsidRDefault="002C5C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FB">
          <w:rPr>
            <w:noProof/>
          </w:rPr>
          <w:t>2</w:t>
        </w:r>
        <w:r>
          <w:fldChar w:fldCharType="end"/>
        </w:r>
      </w:p>
    </w:sdtContent>
  </w:sdt>
  <w:p w14:paraId="67925B55" w14:textId="77777777" w:rsidR="002C5CCE" w:rsidRDefault="002C5C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9CB4D" w14:textId="77777777" w:rsidR="00615144" w:rsidRDefault="00615144" w:rsidP="002C5CCE">
      <w:pPr>
        <w:spacing w:after="0" w:line="240" w:lineRule="auto"/>
      </w:pPr>
      <w:r>
        <w:separator/>
      </w:r>
    </w:p>
  </w:footnote>
  <w:footnote w:type="continuationSeparator" w:id="0">
    <w:p w14:paraId="10E24191" w14:textId="77777777" w:rsidR="00615144" w:rsidRDefault="00615144" w:rsidP="002C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5D444988"/>
    <w:multiLevelType w:val="hybridMultilevel"/>
    <w:tmpl w:val="EA1AA268"/>
    <w:lvl w:ilvl="0" w:tplc="056429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7F"/>
    <w:rsid w:val="00023F02"/>
    <w:rsid w:val="0003113D"/>
    <w:rsid w:val="000679AC"/>
    <w:rsid w:val="00070874"/>
    <w:rsid w:val="0008403F"/>
    <w:rsid w:val="000A3DFB"/>
    <w:rsid w:val="000C0300"/>
    <w:rsid w:val="000E5915"/>
    <w:rsid w:val="0011269C"/>
    <w:rsid w:val="00113CC8"/>
    <w:rsid w:val="001450A1"/>
    <w:rsid w:val="0019192E"/>
    <w:rsid w:val="001A10BE"/>
    <w:rsid w:val="001A6C0F"/>
    <w:rsid w:val="001B4E7F"/>
    <w:rsid w:val="001F2261"/>
    <w:rsid w:val="00220776"/>
    <w:rsid w:val="00221136"/>
    <w:rsid w:val="00237D13"/>
    <w:rsid w:val="002462DC"/>
    <w:rsid w:val="002710FE"/>
    <w:rsid w:val="002C5CCE"/>
    <w:rsid w:val="003015CA"/>
    <w:rsid w:val="003419BD"/>
    <w:rsid w:val="00347ACE"/>
    <w:rsid w:val="0035550A"/>
    <w:rsid w:val="00370F4B"/>
    <w:rsid w:val="003A0922"/>
    <w:rsid w:val="003C63EE"/>
    <w:rsid w:val="00402611"/>
    <w:rsid w:val="00420670"/>
    <w:rsid w:val="00421211"/>
    <w:rsid w:val="004251D2"/>
    <w:rsid w:val="004522AD"/>
    <w:rsid w:val="00477308"/>
    <w:rsid w:val="00497C6C"/>
    <w:rsid w:val="004C5A67"/>
    <w:rsid w:val="0050245E"/>
    <w:rsid w:val="005443C8"/>
    <w:rsid w:val="00563AD0"/>
    <w:rsid w:val="00586097"/>
    <w:rsid w:val="0059768E"/>
    <w:rsid w:val="00615144"/>
    <w:rsid w:val="00615187"/>
    <w:rsid w:val="006368C1"/>
    <w:rsid w:val="0064763E"/>
    <w:rsid w:val="00660EEA"/>
    <w:rsid w:val="006859D8"/>
    <w:rsid w:val="006F7430"/>
    <w:rsid w:val="00706499"/>
    <w:rsid w:val="00706FF2"/>
    <w:rsid w:val="007452B6"/>
    <w:rsid w:val="00791D38"/>
    <w:rsid w:val="007A69DE"/>
    <w:rsid w:val="007D686E"/>
    <w:rsid w:val="007E29E2"/>
    <w:rsid w:val="007E56AB"/>
    <w:rsid w:val="00800410"/>
    <w:rsid w:val="008B6E8B"/>
    <w:rsid w:val="008D48B5"/>
    <w:rsid w:val="0093307D"/>
    <w:rsid w:val="00936343"/>
    <w:rsid w:val="00962F75"/>
    <w:rsid w:val="00983663"/>
    <w:rsid w:val="009B3976"/>
    <w:rsid w:val="009F6DE8"/>
    <w:rsid w:val="00A42153"/>
    <w:rsid w:val="00A65BFE"/>
    <w:rsid w:val="00A65DD7"/>
    <w:rsid w:val="00AF7FC2"/>
    <w:rsid w:val="00B173EB"/>
    <w:rsid w:val="00B42AB1"/>
    <w:rsid w:val="00BB782F"/>
    <w:rsid w:val="00BC41B9"/>
    <w:rsid w:val="00C15CE9"/>
    <w:rsid w:val="00C4329C"/>
    <w:rsid w:val="00C4454A"/>
    <w:rsid w:val="00C51146"/>
    <w:rsid w:val="00C726A0"/>
    <w:rsid w:val="00C912BA"/>
    <w:rsid w:val="00D6311B"/>
    <w:rsid w:val="00D94350"/>
    <w:rsid w:val="00E8633C"/>
    <w:rsid w:val="00EE6345"/>
    <w:rsid w:val="00F03672"/>
    <w:rsid w:val="00F25BB6"/>
    <w:rsid w:val="00F6056B"/>
    <w:rsid w:val="00F73959"/>
    <w:rsid w:val="00F85228"/>
    <w:rsid w:val="00FB6FF7"/>
    <w:rsid w:val="00FC4783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B734"/>
  <w15:chartTrackingRefBased/>
  <w15:docId w15:val="{21365672-84B0-424C-9E82-F1EF6C56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5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F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5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CCE"/>
  </w:style>
  <w:style w:type="paragraph" w:styleId="a7">
    <w:name w:val="footer"/>
    <w:basedOn w:val="a"/>
    <w:link w:val="a8"/>
    <w:uiPriority w:val="99"/>
    <w:unhideWhenUsed/>
    <w:rsid w:val="002C5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CCE"/>
  </w:style>
  <w:style w:type="paragraph" w:styleId="a9">
    <w:name w:val="Balloon Text"/>
    <w:basedOn w:val="a"/>
    <w:link w:val="aa"/>
    <w:uiPriority w:val="99"/>
    <w:semiHidden/>
    <w:unhideWhenUsed/>
    <w:rsid w:val="0042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1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ДЭС. Дюшеналиева</dc:creator>
  <cp:keywords/>
  <dc:description/>
  <cp:lastModifiedBy>Айзада КАБ. Кудайбердиева</cp:lastModifiedBy>
  <cp:revision>2</cp:revision>
  <cp:lastPrinted>2025-04-24T11:01:00Z</cp:lastPrinted>
  <dcterms:created xsi:type="dcterms:W3CDTF">2025-04-30T10:06:00Z</dcterms:created>
  <dcterms:modified xsi:type="dcterms:W3CDTF">2025-04-30T10:06:00Z</dcterms:modified>
</cp:coreProperties>
</file>